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B97" w:rsidRDefault="00C15B97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C15B97" w:rsidRDefault="00C15B97">
      <w:pPr>
        <w:pStyle w:val="ConsPlusNormal"/>
        <w:jc w:val="both"/>
        <w:outlineLvl w:val="0"/>
      </w:pPr>
    </w:p>
    <w:p w:rsidR="00C15B97" w:rsidRDefault="00C15B97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C15B97" w:rsidRDefault="00C15B97">
      <w:pPr>
        <w:pStyle w:val="ConsPlusTitle"/>
        <w:jc w:val="center"/>
      </w:pPr>
    </w:p>
    <w:p w:rsidR="00C15B97" w:rsidRDefault="00C15B97">
      <w:pPr>
        <w:pStyle w:val="ConsPlusTitle"/>
        <w:jc w:val="center"/>
      </w:pPr>
      <w:r>
        <w:t>ПОСТАНОВЛЕНИЕ</w:t>
      </w:r>
    </w:p>
    <w:p w:rsidR="00C15B97" w:rsidRDefault="00C15B97">
      <w:pPr>
        <w:pStyle w:val="ConsPlusTitle"/>
        <w:jc w:val="center"/>
      </w:pPr>
      <w:r>
        <w:t>от 9 декабря 2013 г. N 1126</w:t>
      </w:r>
    </w:p>
    <w:p w:rsidR="00C15B97" w:rsidRDefault="00C15B97">
      <w:pPr>
        <w:pStyle w:val="ConsPlusTitle"/>
        <w:jc w:val="center"/>
      </w:pPr>
    </w:p>
    <w:p w:rsidR="00C15B97" w:rsidRDefault="00C15B97">
      <w:pPr>
        <w:pStyle w:val="ConsPlusTitle"/>
        <w:jc w:val="center"/>
      </w:pPr>
      <w:r>
        <w:t>ОБ УТВЕРЖДЕНИИ ПРОЕКТА ПЛАНИРОВКИ ТЕРРИТОРИИ КВАРТАЛА</w:t>
      </w:r>
    </w:p>
    <w:p w:rsidR="00C15B97" w:rsidRDefault="00C15B97">
      <w:pPr>
        <w:pStyle w:val="ConsPlusTitle"/>
        <w:jc w:val="center"/>
      </w:pPr>
      <w:r>
        <w:t>ПО УЛ. АРТАМОНОВА В ГОРОДСКОМ ОКРУГЕ ГОРОД ВОРОНЕЖ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ind w:firstLine="540"/>
        <w:jc w:val="both"/>
      </w:pPr>
      <w:proofErr w:type="gramStart"/>
      <w:r>
        <w:t xml:space="preserve">В соответствии с Градостроительным </w:t>
      </w:r>
      <w:hyperlink r:id="rId6">
        <w:r>
          <w:rPr>
            <w:color w:val="0000FF"/>
          </w:rPr>
          <w:t>кодексом</w:t>
        </w:r>
      </w:hyperlink>
      <w:r>
        <w:t xml:space="preserve"> Российской Федерации от 29.12.2004 N 190-ФЗ,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16.10.2003 N 131-ФЗ "Об общих принципах организации местного самоуправления в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Воронежской городской Думы от 27.10.2004 N 150-I "Об Уставе городского округа город Воронеж", в целях реализации Генерального </w:t>
      </w:r>
      <w:hyperlink r:id="rId9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422-II, в связи</w:t>
      </w:r>
      <w:proofErr w:type="gramEnd"/>
      <w:r>
        <w:t xml:space="preserve"> </w:t>
      </w:r>
      <w:proofErr w:type="gramStart"/>
      <w:r>
        <w:t xml:space="preserve">с исполнением </w:t>
      </w:r>
      <w:hyperlink r:id="rId10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24.06.2013 N 567 "О подготовке проекта планировки территории квартала по ул. Артамонова в городском округе город Воронеж" с учетом заключения от 04.10.2013 о результатах публичных слушаний по проекту планировки территории квартала по ул. Артамонова в городском округе город Воронеж администрация городского округа город Воронеж постановляет:</w:t>
      </w:r>
      <w:proofErr w:type="gramEnd"/>
    </w:p>
    <w:p w:rsidR="00C15B97" w:rsidRDefault="00C15B97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26">
        <w:r>
          <w:rPr>
            <w:color w:val="0000FF"/>
          </w:rPr>
          <w:t>проект</w:t>
        </w:r>
      </w:hyperlink>
      <w:r>
        <w:t xml:space="preserve"> планировки территории квартала по ул. Артамонова в городском округе город Воронеж.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C15B97" w:rsidRDefault="00C15B97">
      <w:pPr>
        <w:pStyle w:val="ConsPlusNormal"/>
        <w:jc w:val="right"/>
      </w:pPr>
      <w:r>
        <w:t>округа город Воронеж</w:t>
      </w:r>
    </w:p>
    <w:p w:rsidR="00C15B97" w:rsidRDefault="00C15B97">
      <w:pPr>
        <w:pStyle w:val="ConsPlusNormal"/>
        <w:jc w:val="right"/>
      </w:pPr>
      <w:r>
        <w:t>А.В.ГУСЕВ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right"/>
        <w:outlineLvl w:val="0"/>
      </w:pPr>
      <w:r>
        <w:t>Приложение</w:t>
      </w:r>
    </w:p>
    <w:p w:rsidR="00C15B97" w:rsidRDefault="00C15B97">
      <w:pPr>
        <w:pStyle w:val="ConsPlusNormal"/>
        <w:jc w:val="right"/>
      </w:pPr>
      <w:r>
        <w:t>к постановлению</w:t>
      </w:r>
    </w:p>
    <w:p w:rsidR="00C15B97" w:rsidRDefault="00C15B97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C15B97" w:rsidRDefault="00C15B97">
      <w:pPr>
        <w:pStyle w:val="ConsPlusNormal"/>
        <w:jc w:val="right"/>
      </w:pPr>
      <w:r>
        <w:t>округа город Воронеж</w:t>
      </w:r>
    </w:p>
    <w:p w:rsidR="00C15B97" w:rsidRDefault="00C15B97">
      <w:pPr>
        <w:pStyle w:val="ConsPlusNormal"/>
        <w:jc w:val="right"/>
      </w:pPr>
      <w:r>
        <w:t>от 09.12.2013 N 1126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Title"/>
        <w:jc w:val="center"/>
      </w:pPr>
      <w:bookmarkStart w:id="0" w:name="P26"/>
      <w:bookmarkEnd w:id="0"/>
      <w:r>
        <w:t>ПРОЕКТ</w:t>
      </w:r>
    </w:p>
    <w:p w:rsidR="00C15B97" w:rsidRDefault="00C15B97">
      <w:pPr>
        <w:pStyle w:val="ConsPlusTitle"/>
        <w:jc w:val="center"/>
      </w:pPr>
      <w:r>
        <w:t>ПЛАНИРОВКИ ТЕРРИТОРИИ КВАРТАЛА ПО УЛ. АРТАМОНОВА</w:t>
      </w:r>
    </w:p>
    <w:p w:rsidR="00C15B97" w:rsidRDefault="00C15B97">
      <w:pPr>
        <w:pStyle w:val="ConsPlusTitle"/>
        <w:jc w:val="center"/>
      </w:pPr>
      <w:r>
        <w:t>В ГОРОДСКОМ ОКРУГЕ ГОРОД ВОРОНЕЖ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ind w:firstLine="540"/>
        <w:jc w:val="both"/>
      </w:pPr>
      <w:r>
        <w:t xml:space="preserve">1. </w:t>
      </w:r>
      <w:hyperlink w:anchor="P47">
        <w:r>
          <w:rPr>
            <w:color w:val="0000FF"/>
          </w:rPr>
          <w:t>Положение</w:t>
        </w:r>
      </w:hyperlink>
      <w:r>
        <w:t xml:space="preserve"> о размещении объектов капитального строительства и характеристиках планируемого развития территории квартала по ул. Артамонова в городском округе город Воронеж (приложение N 1).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2. Основной чертеж планировки территории квартала по ул. Артамонова в городском округе город Воронеж (приложение N 2 - не приводится).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right"/>
      </w:pPr>
      <w:r>
        <w:t>Руководитель управления</w:t>
      </w:r>
    </w:p>
    <w:p w:rsidR="00C15B97" w:rsidRDefault="00C15B97">
      <w:pPr>
        <w:pStyle w:val="ConsPlusNormal"/>
        <w:jc w:val="right"/>
      </w:pPr>
      <w:r>
        <w:t>главного архитектора городского округа</w:t>
      </w:r>
    </w:p>
    <w:p w:rsidR="00C15B97" w:rsidRDefault="00C15B97">
      <w:pPr>
        <w:pStyle w:val="ConsPlusNormal"/>
        <w:jc w:val="right"/>
      </w:pPr>
      <w:r>
        <w:t>А.В.ШЕВЕЛЕВ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right"/>
        <w:outlineLvl w:val="1"/>
      </w:pPr>
      <w:r>
        <w:t>Приложение N 1</w:t>
      </w:r>
    </w:p>
    <w:p w:rsidR="00C15B97" w:rsidRDefault="00C15B97">
      <w:pPr>
        <w:pStyle w:val="ConsPlusNormal"/>
        <w:jc w:val="right"/>
      </w:pPr>
      <w:r>
        <w:t>к проекту</w:t>
      </w:r>
    </w:p>
    <w:p w:rsidR="00C15B97" w:rsidRDefault="00C15B97">
      <w:pPr>
        <w:pStyle w:val="ConsPlusNormal"/>
        <w:jc w:val="right"/>
      </w:pPr>
      <w:r>
        <w:t>планировки территории квартала</w:t>
      </w:r>
    </w:p>
    <w:p w:rsidR="00C15B97" w:rsidRDefault="00C15B97">
      <w:pPr>
        <w:pStyle w:val="ConsPlusNormal"/>
        <w:jc w:val="right"/>
      </w:pPr>
      <w:r>
        <w:t xml:space="preserve">по ул. Артамонова в </w:t>
      </w:r>
      <w:proofErr w:type="gramStart"/>
      <w:r>
        <w:t>городском</w:t>
      </w:r>
      <w:proofErr w:type="gramEnd"/>
    </w:p>
    <w:p w:rsidR="00C15B97" w:rsidRDefault="00C15B97">
      <w:pPr>
        <w:pStyle w:val="ConsPlusNormal"/>
        <w:jc w:val="right"/>
      </w:pPr>
      <w:r>
        <w:t>округе город Воронеж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center"/>
      </w:pPr>
      <w:bookmarkStart w:id="1" w:name="P47"/>
      <w:bookmarkEnd w:id="1"/>
      <w:r>
        <w:t>Положение</w:t>
      </w:r>
    </w:p>
    <w:p w:rsidR="00C15B97" w:rsidRDefault="00C15B97">
      <w:pPr>
        <w:pStyle w:val="ConsPlusNormal"/>
        <w:jc w:val="center"/>
      </w:pPr>
      <w:r>
        <w:t>о размещении объектов капитального строительства</w:t>
      </w:r>
    </w:p>
    <w:p w:rsidR="00C15B97" w:rsidRDefault="00C15B97">
      <w:pPr>
        <w:pStyle w:val="ConsPlusNormal"/>
        <w:jc w:val="center"/>
      </w:pPr>
      <w:r>
        <w:t xml:space="preserve">и </w:t>
      </w:r>
      <w:proofErr w:type="gramStart"/>
      <w:r>
        <w:t>характеристиках</w:t>
      </w:r>
      <w:proofErr w:type="gramEnd"/>
      <w:r>
        <w:t xml:space="preserve"> планируемого развития территории квартала</w:t>
      </w:r>
    </w:p>
    <w:p w:rsidR="00C15B97" w:rsidRDefault="00C15B97">
      <w:pPr>
        <w:pStyle w:val="ConsPlusNormal"/>
        <w:jc w:val="center"/>
      </w:pPr>
      <w:r>
        <w:t>по ул. Артамонова в городском округе город Воронеж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center"/>
        <w:outlineLvl w:val="2"/>
      </w:pPr>
      <w:r>
        <w:t>I. Общие положения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ind w:firstLine="540"/>
        <w:jc w:val="both"/>
      </w:pPr>
      <w:proofErr w:type="gramStart"/>
      <w:r>
        <w:t xml:space="preserve">Проект планировки территории квартала по ул. Артамонова в городском округе город Воронеж (далее - проект планировки территории, проектируемая территория) разработан на основании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N 567 от 24 июня 2013 года "О подготовке проекта планировки территории квартала по ул. Артамонова в городском округе город Воронеж", заявления ООО "Воронежбетон", Генерального </w:t>
      </w:r>
      <w:hyperlink r:id="rId12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</w:t>
      </w:r>
      <w:proofErr w:type="gramEnd"/>
      <w:r>
        <w:t xml:space="preserve"> </w:t>
      </w:r>
      <w:proofErr w:type="gramStart"/>
      <w:r>
        <w:t xml:space="preserve">городской Думы от 19.12.2008 N 422-II "Об утверждении Генерального плана городского округа город Воронеж" (далее - Генеральный план), </w:t>
      </w:r>
      <w:hyperlink r:id="rId13">
        <w:r>
          <w:rPr>
            <w:color w:val="0000FF"/>
          </w:rPr>
          <w:t>плана</w:t>
        </w:r>
      </w:hyperlink>
      <w:r>
        <w:t xml:space="preserve"> реализации Генерального плана городского округа город Воронеж на период с 2009 по 2011 годы, утвержденного постановлением главы городского округа город Воронеж от 8 июня 2009 года N 441 "О плане реализации Генерального плана городского округа город Воронеж на период с 2009 по</w:t>
      </w:r>
      <w:proofErr w:type="gramEnd"/>
      <w:r>
        <w:t xml:space="preserve"> </w:t>
      </w:r>
      <w:proofErr w:type="gramStart"/>
      <w:r>
        <w:t xml:space="preserve">2011 годы" (далее - План реализации Генерального плана), а также </w:t>
      </w:r>
      <w:hyperlink r:id="rId14">
        <w:r>
          <w:rPr>
            <w:color w:val="0000FF"/>
          </w:rPr>
          <w:t>Правил</w:t>
        </w:r>
      </w:hyperlink>
      <w:r>
        <w:t xml:space="preserve"> землепользования и застройки,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 требованиями Градостроительного </w:t>
      </w:r>
      <w:hyperlink r:id="rId15">
        <w:r>
          <w:rPr>
            <w:color w:val="0000FF"/>
          </w:rPr>
          <w:t>кодекса</w:t>
        </w:r>
      </w:hyperlink>
      <w:r>
        <w:t xml:space="preserve">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  <w:proofErr w:type="gramEnd"/>
    </w:p>
    <w:p w:rsidR="00C15B97" w:rsidRDefault="00C15B97">
      <w:pPr>
        <w:pStyle w:val="ConsPlusNormal"/>
        <w:spacing w:before="220"/>
        <w:ind w:firstLine="540"/>
        <w:jc w:val="both"/>
      </w:pPr>
      <w:r>
        <w:t>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Проект планировки территории является основой для разработки проекта межевания территории. Документация по планировке территории является основанием для последующей подготовки проектной документации и осуществления строительства.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Материалы утвержденного проекта планировки являются основой для выноса на местность красных линий, линий регулирования застройки, границ земельных участков, а также должны учитываться при разработке проектов межевания территорий, а также для последующих стадий архитектурно-строительного проектирования и строительства отдельных объектов.</w:t>
      </w:r>
    </w:p>
    <w:p w:rsidR="00C15B97" w:rsidRDefault="00C15B97">
      <w:pPr>
        <w:pStyle w:val="ConsPlusNormal"/>
        <w:spacing w:before="220"/>
        <w:ind w:firstLine="540"/>
        <w:jc w:val="both"/>
      </w:pPr>
      <w:proofErr w:type="gramStart"/>
      <w:r>
        <w:t xml:space="preserve">Архитектурно-строительное проектирование осуществляется с учетом положений настоящего проекта планировки территории в соответствии с требованиями технических регламентов, региональных </w:t>
      </w:r>
      <w:hyperlink r:id="rId16">
        <w:r>
          <w:rPr>
            <w:color w:val="0000FF"/>
          </w:rPr>
          <w:t>нормативов</w:t>
        </w:r>
      </w:hyperlink>
      <w:r>
        <w:t xml:space="preserve"> градостроительного проектирования "Планировка жилых, общественно-деловых и рекреационных зон населенных пунктов Воронежской области", </w:t>
      </w:r>
      <w:r>
        <w:lastRenderedPageBreak/>
        <w:t xml:space="preserve">утвержденных приказом управления архитектуры и градостроительства Воронежской области от 17 апреля 2008 года N 9-п "Об утверждении регионального норматива градостроительного проектирования" (далее - региональный градостроительный норматив), и местного </w:t>
      </w:r>
      <w:hyperlink r:id="rId17">
        <w:r>
          <w:rPr>
            <w:color w:val="0000FF"/>
          </w:rPr>
          <w:t>норматива</w:t>
        </w:r>
      </w:hyperlink>
      <w:r>
        <w:t xml:space="preserve"> градостроительного проектирования</w:t>
      </w:r>
      <w:proofErr w:type="gramEnd"/>
      <w:r>
        <w:t xml:space="preserve"> "Планировка жилых, общественно-деловых и рекреационных зон городского округа город Воронеж", утвержденного постановлением администрации городского округа город Воронеж от 26 июля 2010 года N 650 "Об утверждении местного норматива градостроительного проектирования "Планировка жилых, общественно-деловых и рекреационных зон городского округа город Воронеж" (далее - местный градостроительный норматив).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center"/>
        <w:outlineLvl w:val="2"/>
      </w:pPr>
      <w:r>
        <w:t>II. Современное использование проектируемой территории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ind w:firstLine="540"/>
        <w:jc w:val="both"/>
      </w:pPr>
      <w:r>
        <w:t>Планируемая территория квартала площадью 5,6 га расположена в Железнодорожного районе городского округа город Воронеж по ул. Артамонова. Квартал расположен в левобережной части города. В настоящее время в границах территории расположены земельные участки, фактически занимаемые многоквартирными малоэтажными, среднеэтажными и многоэтажными жилыми домами, спортивной гребной базой и лыжно-спортивной базой. Транспортная связь с городским центром осуществляется по улице местного значения - Артамонова, магистральным улицам общегородского значения регулируемого движения - Богдана Хмельницкого и Ленинский проспект и далее через Чернавский мост по магистральной улице общегородского значения регулируемого движения - просп. Революции.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Ранее планируемая территория квартала по ул. Артамонова входила в территорию, на которую был разработан проект детальной планировки Восточного района Отрожка, утвержденный решением ГИКа от 12.08.1983 N 315. Согласно данному проекту на планируемой территории предполагалось строительство многоквартирных многоэтажных домов. На сегодняшний день данный проект реализован.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Согласно карте градостроительного зонирования планируемая территория расположена в территориальных зонах:</w:t>
      </w:r>
    </w:p>
    <w:p w:rsidR="00C15B97" w:rsidRDefault="00C15B97">
      <w:pPr>
        <w:pStyle w:val="ConsPlusNormal"/>
        <w:spacing w:before="220"/>
        <w:ind w:firstLine="540"/>
        <w:jc w:val="both"/>
      </w:pPr>
      <w:hyperlink r:id="rId18">
        <w:proofErr w:type="gramStart"/>
        <w:r>
          <w:rPr>
            <w:color w:val="0000FF"/>
          </w:rPr>
          <w:t>Ж</w:t>
        </w:r>
        <w:proofErr w:type="gramEnd"/>
        <w:r>
          <w:rPr>
            <w:color w:val="0000FF"/>
          </w:rPr>
          <w:t xml:space="preserve"> 10</w:t>
        </w:r>
      </w:hyperlink>
      <w:r>
        <w:t xml:space="preserve"> - зона развития многоэтажной жилой застройки. Зона выделена для формирования жилых районов многоэтажной жилой застройки на свободных и трансформируемых территориях с определением параметров жилой застройки и набором услуг по мере принятия решений о застройке территории органами местного самоуправления.</w:t>
      </w:r>
    </w:p>
    <w:p w:rsidR="00C15B97" w:rsidRDefault="00C15B97">
      <w:pPr>
        <w:pStyle w:val="ConsPlusNormal"/>
        <w:spacing w:before="220"/>
        <w:ind w:firstLine="540"/>
        <w:jc w:val="both"/>
      </w:pPr>
      <w:hyperlink r:id="rId19"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5</w:t>
        </w:r>
      </w:hyperlink>
      <w:r>
        <w:t xml:space="preserve"> - прибрежные зоны отдыха, набережные, лугопарки. Зона выделена для обеспечения условий сохранения и использования земельных участков озеленения и природного ландшафта в целях проведения досуга населения и предотвращения загрязнения, засорения, заиления водных объектов.</w:t>
      </w:r>
    </w:p>
    <w:p w:rsidR="00C15B97" w:rsidRDefault="00C15B97">
      <w:pPr>
        <w:pStyle w:val="ConsPlusNormal"/>
        <w:spacing w:before="220"/>
        <w:ind w:firstLine="540"/>
        <w:jc w:val="both"/>
      </w:pPr>
      <w:hyperlink r:id="rId20">
        <w:proofErr w:type="gramStart"/>
        <w:r>
          <w:rPr>
            <w:color w:val="0000FF"/>
          </w:rPr>
          <w:t>Ж</w:t>
        </w:r>
        <w:proofErr w:type="gramEnd"/>
        <w:r>
          <w:rPr>
            <w:color w:val="0000FF"/>
          </w:rPr>
          <w:t xml:space="preserve"> 7</w:t>
        </w:r>
      </w:hyperlink>
      <w:r>
        <w:t xml:space="preserve"> - многоэтажная застройка. Зона выделена для формирования жилых районов многоэтажной застройки с необходимым набором услуг местного значения.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 xml:space="preserve">Генеральным </w:t>
      </w:r>
      <w:hyperlink r:id="rId21">
        <w:r>
          <w:rPr>
            <w:color w:val="0000FF"/>
          </w:rPr>
          <w:t>планом</w:t>
        </w:r>
      </w:hyperlink>
      <w:r>
        <w:t xml:space="preserve"> городского округа город Воронеж планируемая территория определена как планируемая под многоэтажную жилую застройку (7 этажей и выше). Часть территории планируется для размещения зеленых насаждений общего и специального назначения.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Согласно схемам территориального планирования Российской Федерации и схемам территориального планирования субъектов Российской Федерации строительство объектов федерального, регионального и местного значения на данной территории не предполагается. Объекты культурного наследия в границах проектируемой территории отсутствуют.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 xml:space="preserve">Планируемая территория в настоящее время в основном застроена смешанной жилой </w:t>
      </w:r>
      <w:r>
        <w:lastRenderedPageBreak/>
        <w:t>застройкой, на территории расположены многоквартирные многоэтажные жилые дома этажностью 5 - 9 этажей, двухэтажные многоквартирные жилые дома послевоенной постройки.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Структура жилищного фонда следующая: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малоэтажная многоквартирная застройка (2 эт.) - 3,2%;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среднеэтажная многоквартирная застройка (5 эт.) - 6,3%;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многоэтажная многоквартирная застройка (9 эт.) - 1,8%.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Жилищный фонд на данной территории в основном оборудован водопроводом, канализацией, газом, отоплением и горячим водоснабжением.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На момент подготовки проекта планировки интенсивность использования территории следующая: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процент застроенности территории составляет - 11,3%;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 xml:space="preserve">- плотность жилой застройки - 5387 кв. м/ </w:t>
      </w:r>
      <w:proofErr w:type="gramStart"/>
      <w:r>
        <w:t>га</w:t>
      </w:r>
      <w:proofErr w:type="gramEnd"/>
      <w:r>
        <w:t>;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население - 1256 чел;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плотность населения - 224 чел/</w:t>
      </w:r>
      <w:proofErr w:type="gramStart"/>
      <w:r>
        <w:t>га</w:t>
      </w:r>
      <w:proofErr w:type="gramEnd"/>
      <w:r>
        <w:t>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На рассматриваемой территории установлены границы земельных участков, на которых расположены объекты капитального строительства. Земельные участки, предоставленные в частную собственность, составляют 11,5%, в собственность субъекта Федерации 12% и 76,5% составляют земли, государственная собственность на которые не разграничена.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На планируемой территории нет объектов социальной инфраструктуры повседневного обслуживания. Данные объекты расположены на прилегающих территориях в пешеходной доступности.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Комплексная оценка территории позволяет определить ряд направлений по ее развитию: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формирование современной застройки с полным инженерным обеспечением;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уменьшение доли физически и морально устаревшего жилищного фонда послевоенных лет постройки;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повышение эффективности использования городской территории за счет повышения плотности застройки.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center"/>
        <w:outlineLvl w:val="2"/>
      </w:pPr>
      <w:r>
        <w:t>III. Основные направления развития</w:t>
      </w:r>
    </w:p>
    <w:p w:rsidR="00C15B97" w:rsidRDefault="00C15B97">
      <w:pPr>
        <w:pStyle w:val="ConsPlusNormal"/>
        <w:jc w:val="center"/>
      </w:pPr>
      <w:r>
        <w:t>архитектурно-планировочной и функционально-пространственной</w:t>
      </w:r>
    </w:p>
    <w:p w:rsidR="00C15B97" w:rsidRDefault="00C15B97">
      <w:pPr>
        <w:pStyle w:val="ConsPlusNormal"/>
        <w:jc w:val="center"/>
      </w:pPr>
      <w:r>
        <w:t>структуры территории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ind w:firstLine="540"/>
        <w:jc w:val="both"/>
      </w:pPr>
      <w:proofErr w:type="gramStart"/>
      <w:r>
        <w:t xml:space="preserve">Основные решения по развитию территории приняты с учетом установленных </w:t>
      </w:r>
      <w:hyperlink r:id="rId22">
        <w:r>
          <w:rPr>
            <w:color w:val="0000FF"/>
          </w:rPr>
          <w:t>Правилами</w:t>
        </w:r>
      </w:hyperlink>
      <w:r>
        <w:t xml:space="preserve"> землепользования и застройки ограничений использования земельных участков и объектов капитального строительства, а именно природно-экологических факторов - водоохранная зона водохранилища, прибрежная и береговая полосы и техногенных факторов - зона воздушных подходов аэродромов.</w:t>
      </w:r>
      <w:proofErr w:type="gramEnd"/>
    </w:p>
    <w:p w:rsidR="00C15B97" w:rsidRDefault="00C15B97">
      <w:pPr>
        <w:pStyle w:val="ConsPlusNormal"/>
        <w:spacing w:before="220"/>
        <w:ind w:firstLine="540"/>
        <w:jc w:val="both"/>
      </w:pPr>
      <w:proofErr w:type="gramStart"/>
      <w:r>
        <w:t xml:space="preserve">Развитие планируемой территории квартала, расположенного по ул. Артамонова, площадью 5,6 га возможно за счет реконструкции (сноса) устаревшего жилого фонда (двухэтажных жилых домов по ул. Артамонова), повышения плотности застройки и строительства современной </w:t>
      </w:r>
      <w:r>
        <w:lastRenderedPageBreak/>
        <w:t>застройки с полным инженерным обеспечением на свободных неиспользуемых по назначению территориях, также развитие прибрежной зоны в виде организации на ней парково-спортивной зоны отдыха.</w:t>
      </w:r>
      <w:proofErr w:type="gramEnd"/>
    </w:p>
    <w:p w:rsidR="00C15B97" w:rsidRDefault="00C15B97">
      <w:pPr>
        <w:pStyle w:val="ConsPlusNormal"/>
        <w:spacing w:before="220"/>
        <w:ind w:firstLine="540"/>
        <w:jc w:val="both"/>
      </w:pPr>
      <w:r>
        <w:t>Структуру проектируемой территории жилого квартала составит зона планируемого размещения многоэтажной жилой застройки, зона планируемого размещения сквера, зона существующей застройки и зона существующих спортивных сооружений.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Убыль существующего жилищного фонда на планируемой территории не предполагается. Существующий жилой фонд - 30167 кв. м, общая площадь квартир - 22625 кв. м, население существующего жилого фонда составляет 1256 чел.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Общая площадь осваиваемой территории под новое жилищное строительство составляет 0,63 га. На остальной территории предполагается благоустройство прибрежной зоны и благоустройство территории существующей жилой застройки. На данном земельном участке предусматривается строительство новой жилой застройки повышенной этажности с встроенно-пристроенными нежилыми помещениями и подземным паркингом.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На земельном участке площадью 0,63 га при максимальной плотности застройки 32500 кв. м/га планируется строительство многоэтажной многоквартирной застройки - 17 этажей с встроенно-пристроенными нежилыми помещениями. Площадь застройки 2062 кв. м (33% застроенности территории участка). Общая площадь жилой застройки (фонд) нового строительства составит 20475 кв. м, общая площадь квартир составит 15356 кв. м, площадь нежилых помещений, расположенных на первом этаже здания, - 1760 кв. м с учетом жилищной обеспеченности 30 кв. м/чел, население нового жилого фонда составит - 511 человек, количество квартир - 224.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На планируемой территории проектом планировки не предусмотрено строительство объектов социальной инфраструктуры, кроме нежилых помещений, расположенных на первых этажах жилых домов.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 xml:space="preserve">Проектом планировки выполнена ориентировочная посадка зданий, показатели по застройке приняты из укрупненных расчетов. Посадка и значения технико-экономических показателей будут скорректированы при разработке </w:t>
      </w:r>
      <w:proofErr w:type="gramStart"/>
      <w:r>
        <w:t>индивидуальных проектов</w:t>
      </w:r>
      <w:proofErr w:type="gramEnd"/>
      <w:r>
        <w:t xml:space="preserve"> зданий и сооружений. Каждый </w:t>
      </w:r>
      <w:proofErr w:type="gramStart"/>
      <w:r>
        <w:t>индивидуальный проект</w:t>
      </w:r>
      <w:proofErr w:type="gramEnd"/>
      <w:r>
        <w:t xml:space="preserve"> должен пройти согласование в установленном порядке. Очередность строительства будет определена на последующих стадиях проектирования.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center"/>
        <w:outlineLvl w:val="2"/>
      </w:pPr>
      <w:r>
        <w:t>IV. Основные направления инженерной подготовки территории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ind w:firstLine="540"/>
        <w:jc w:val="both"/>
      </w:pPr>
      <w:r>
        <w:t>Рельеф на территории квартала плоскоравнинный, который постепенно переходит в речную террасу. Организация рельефа территории осуществляется с учетом существующих инженерных сетей, естественного отвода поверхностных вод и минимального объема земляных работ. Отвод воды осуществляется по поверхности в ближайшую сеть муниципальной ливневой канализации D = 1000 мм по ул. Артамонова.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 xml:space="preserve">Схема вертикальной планировки осуществлена методом отметок, которые наносятся на геодезическую подоснову с показанными на ней улицами, проездами, зданиями и площадками. При составлении схемы вертикальной планировки определяются отметки существующего рельефа и проектные отметки в точках пересечения осей улиц и в местах резкого изменения рельефа, закладываются проектные продольные уклоны. Вертикальной планировкой участка определены уклоны по улицам: Артамонова, пер. </w:t>
      </w:r>
      <w:proofErr w:type="gramStart"/>
      <w:r>
        <w:t>Прибрежный</w:t>
      </w:r>
      <w:proofErr w:type="gramEnd"/>
      <w:r>
        <w:t xml:space="preserve"> и по проектируемой дороге на намывной территории, планируемые отметки максимально приближены к существующим. Согласно СП 42.13330.2011 величина уклонов в пределах допустимых.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 xml:space="preserve">Планируемая территория в основном имеет сложные условия для строительства, требующие </w:t>
      </w:r>
      <w:r>
        <w:lastRenderedPageBreak/>
        <w:t>инженерной подготовки территории. Тип фундаментов - свайный, для защиты подземных сооружений проектом предусматривается понижение уровня грунтовых вод в зоне капитальной застройки путем устройства закрытых дренажей. Плановое положение, конструкция дренажа, гидрологические и гидравлические расчеты будут отражены подробно на последующих стадиях проектирования.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center"/>
        <w:outlineLvl w:val="2"/>
      </w:pPr>
      <w:r>
        <w:t>V. Основные направления развития инженерно-технического</w:t>
      </w:r>
    </w:p>
    <w:p w:rsidR="00C15B97" w:rsidRDefault="00C15B97">
      <w:pPr>
        <w:pStyle w:val="ConsPlusNormal"/>
        <w:jc w:val="center"/>
      </w:pPr>
      <w:r>
        <w:t>обеспечения территории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ind w:firstLine="540"/>
        <w:jc w:val="both"/>
      </w:pPr>
      <w:r>
        <w:t xml:space="preserve">Решения по развитию инженерной инфраструктуры в границах проекта планировки территории приняты с учетом общей схемы развития объектов инженерной инфраструктуры, утвержденной в составе Генерального </w:t>
      </w:r>
      <w:hyperlink r:id="rId23">
        <w:r>
          <w:rPr>
            <w:color w:val="0000FF"/>
          </w:rPr>
          <w:t>плана</w:t>
        </w:r>
      </w:hyperlink>
      <w:r>
        <w:t>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Размещаемые объекты капитального строительства имеют следующие потребности в инженерном обеспечении: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теплоснабжение - 12259 ГДж/год;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водоснабжение - 233,02 куб. м/сутки;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водоотведение - 202,35 куб. м/сутки;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электроснабжение - 479 кВт.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Объекты инженерного обеспечения проектируемой территории будут запроектированы с учетом технических условий, которые будут выданы службами городского округа город Воронеж.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center"/>
        <w:outlineLvl w:val="2"/>
      </w:pPr>
      <w:r>
        <w:t xml:space="preserve">VI. </w:t>
      </w:r>
      <w:proofErr w:type="gramStart"/>
      <w:r>
        <w:t>Основные направления транспортного</w:t>
      </w:r>
      <w:proofErr w:type="gramEnd"/>
    </w:p>
    <w:p w:rsidR="00C15B97" w:rsidRDefault="00C15B97">
      <w:pPr>
        <w:pStyle w:val="ConsPlusNormal"/>
        <w:jc w:val="center"/>
      </w:pPr>
      <w:r>
        <w:t>обслуживания территории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ind w:firstLine="540"/>
        <w:jc w:val="both"/>
      </w:pPr>
      <w:r>
        <w:t xml:space="preserve">Проект планировки сохраняет в своей основе исторически сложившуюся структуру улиц, заложенную на предыдущих этапах проектирования, учитывает природно-климатические и ландшафтные условия. Основой транспортной схемы планируемой территории является транспортная схема, утвержденная в составе Генерального </w:t>
      </w:r>
      <w:hyperlink r:id="rId24">
        <w:r>
          <w:rPr>
            <w:color w:val="0000FF"/>
          </w:rPr>
          <w:t>плана</w:t>
        </w:r>
      </w:hyperlink>
      <w:r>
        <w:t xml:space="preserve">. Проектом планировки предусматривается реконструкция существующих транспортных связей, реконструкция и восстановление дорожного полотна по пер. </w:t>
      </w:r>
      <w:proofErr w:type="gramStart"/>
      <w:r>
        <w:t>Прибрежному</w:t>
      </w:r>
      <w:proofErr w:type="gramEnd"/>
      <w:r>
        <w:t>, наименования улиц используются, установленные на момент подготовки проекта планировки. Ширина улиц определена с учетом санитарно-гигиенических требований в зависимости от категорий улиц и дорог, интенсивности движения транспорта и пешеходов, наличия технических полос для прокладки инженерных коммуникаций. Транспортная связь между элементами планировочной структуры предусмотрена по существующим улицам и дорогам следующих категорий:</w:t>
      </w:r>
    </w:p>
    <w:p w:rsidR="00C15B97" w:rsidRDefault="00C15B97">
      <w:pPr>
        <w:pStyle w:val="ConsPlusNormal"/>
        <w:spacing w:before="220"/>
        <w:ind w:firstLine="540"/>
        <w:jc w:val="both"/>
      </w:pPr>
      <w:proofErr w:type="gramStart"/>
      <w:r>
        <w:t>- городская магистральная улица регулируемого движения, обеспечивающая транспортную связь проектируемой территории с общегородским центром - улица Богдана Хмельницкого, ширина составляет 7,5 м, две полосы движения;</w:t>
      </w:r>
      <w:proofErr w:type="gramEnd"/>
    </w:p>
    <w:p w:rsidR="00C15B97" w:rsidRDefault="00C15B97">
      <w:pPr>
        <w:pStyle w:val="ConsPlusNormal"/>
        <w:spacing w:before="220"/>
        <w:ind w:firstLine="540"/>
        <w:jc w:val="both"/>
      </w:pPr>
      <w:r>
        <w:t xml:space="preserve">- улицы и дороги местного значения, обеспечивающие </w:t>
      </w:r>
      <w:proofErr w:type="gramStart"/>
      <w:r>
        <w:t>транспортную</w:t>
      </w:r>
      <w:proofErr w:type="gramEnd"/>
      <w:r>
        <w:t xml:space="preserve"> и пешеходную связи на территории жилого района, а также обеспечивающие выходы на общегородские и районные магистрали: ул. Артамонова, пер. Прибрежный.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В границах планируемой территории проходит улица местного значения - пер. Прибрежный, ширина проезжей части - 6 м, покрытие асфальтовое.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 xml:space="preserve">Ведомость координат красных линий см. </w:t>
      </w:r>
      <w:hyperlink w:anchor="P127">
        <w:r>
          <w:rPr>
            <w:color w:val="0000FF"/>
          </w:rPr>
          <w:t>таблицу N 1</w:t>
        </w:r>
      </w:hyperlink>
      <w:r>
        <w:t>.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right"/>
        <w:outlineLvl w:val="3"/>
      </w:pPr>
      <w:bookmarkStart w:id="2" w:name="P127"/>
      <w:bookmarkEnd w:id="2"/>
      <w:r>
        <w:t>Таблица N 1</w:t>
      </w:r>
    </w:p>
    <w:p w:rsidR="00C15B97" w:rsidRDefault="00C15B97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3063"/>
        <w:gridCol w:w="3186"/>
        <w:gridCol w:w="3186"/>
      </w:tblGrid>
      <w:tr w:rsidR="00C15B97">
        <w:trPr>
          <w:trHeight w:val="223"/>
        </w:trPr>
        <w:tc>
          <w:tcPr>
            <w:tcW w:w="3050" w:type="dxa"/>
          </w:tcPr>
          <w:p w:rsidR="00C15B97" w:rsidRDefault="00C15B97">
            <w:pPr>
              <w:pStyle w:val="ConsPlusNonformat"/>
            </w:pPr>
            <w:r>
              <w:t xml:space="preserve">        N точки        </w:t>
            </w:r>
          </w:p>
        </w:tc>
        <w:tc>
          <w:tcPr>
            <w:tcW w:w="3172" w:type="dxa"/>
          </w:tcPr>
          <w:p w:rsidR="00C15B97" w:rsidRDefault="00C15B97">
            <w:pPr>
              <w:pStyle w:val="ConsPlusNonformat"/>
            </w:pPr>
            <w:r>
              <w:t xml:space="preserve">           X            </w:t>
            </w:r>
          </w:p>
        </w:tc>
        <w:tc>
          <w:tcPr>
            <w:tcW w:w="3172" w:type="dxa"/>
          </w:tcPr>
          <w:p w:rsidR="00C15B97" w:rsidRDefault="00C15B97">
            <w:pPr>
              <w:pStyle w:val="ConsPlusNonformat"/>
            </w:pPr>
            <w:r>
              <w:t xml:space="preserve">           Y            </w:t>
            </w:r>
          </w:p>
        </w:tc>
      </w:tr>
      <w:tr w:rsidR="00C15B97">
        <w:trPr>
          <w:trHeight w:val="223"/>
        </w:trPr>
        <w:tc>
          <w:tcPr>
            <w:tcW w:w="305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  1*           </w:t>
            </w:r>
          </w:p>
        </w:tc>
        <w:tc>
          <w:tcPr>
            <w:tcW w:w="317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7525,34         </w:t>
            </w:r>
          </w:p>
        </w:tc>
        <w:tc>
          <w:tcPr>
            <w:tcW w:w="317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3685,17         </w:t>
            </w:r>
          </w:p>
        </w:tc>
      </w:tr>
      <w:tr w:rsidR="00C15B97">
        <w:trPr>
          <w:trHeight w:val="223"/>
        </w:trPr>
        <w:tc>
          <w:tcPr>
            <w:tcW w:w="305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  2*           </w:t>
            </w:r>
          </w:p>
        </w:tc>
        <w:tc>
          <w:tcPr>
            <w:tcW w:w="317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7637,20         </w:t>
            </w:r>
          </w:p>
        </w:tc>
        <w:tc>
          <w:tcPr>
            <w:tcW w:w="317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3769,64         </w:t>
            </w:r>
          </w:p>
        </w:tc>
      </w:tr>
      <w:tr w:rsidR="00C15B97">
        <w:trPr>
          <w:trHeight w:val="223"/>
        </w:trPr>
        <w:tc>
          <w:tcPr>
            <w:tcW w:w="305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  3*           </w:t>
            </w:r>
          </w:p>
        </w:tc>
        <w:tc>
          <w:tcPr>
            <w:tcW w:w="317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7693,93         </w:t>
            </w:r>
          </w:p>
        </w:tc>
        <w:tc>
          <w:tcPr>
            <w:tcW w:w="317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3865,65         </w:t>
            </w:r>
          </w:p>
        </w:tc>
      </w:tr>
      <w:tr w:rsidR="00C15B97">
        <w:trPr>
          <w:trHeight w:val="223"/>
        </w:trPr>
        <w:tc>
          <w:tcPr>
            <w:tcW w:w="305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  4*           </w:t>
            </w:r>
          </w:p>
        </w:tc>
        <w:tc>
          <w:tcPr>
            <w:tcW w:w="317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7143,08         </w:t>
            </w:r>
          </w:p>
        </w:tc>
        <w:tc>
          <w:tcPr>
            <w:tcW w:w="317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4067,07         </w:t>
            </w:r>
          </w:p>
        </w:tc>
      </w:tr>
      <w:tr w:rsidR="00C15B97">
        <w:trPr>
          <w:trHeight w:val="223"/>
        </w:trPr>
        <w:tc>
          <w:tcPr>
            <w:tcW w:w="305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  5*           </w:t>
            </w:r>
          </w:p>
        </w:tc>
        <w:tc>
          <w:tcPr>
            <w:tcW w:w="317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7051,41         </w:t>
            </w:r>
          </w:p>
        </w:tc>
        <w:tc>
          <w:tcPr>
            <w:tcW w:w="317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4031,55         </w:t>
            </w:r>
          </w:p>
        </w:tc>
      </w:tr>
      <w:tr w:rsidR="00C15B97">
        <w:trPr>
          <w:trHeight w:val="223"/>
        </w:trPr>
        <w:tc>
          <w:tcPr>
            <w:tcW w:w="305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  6*           </w:t>
            </w:r>
          </w:p>
        </w:tc>
        <w:tc>
          <w:tcPr>
            <w:tcW w:w="317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7042,35         </w:t>
            </w:r>
          </w:p>
        </w:tc>
        <w:tc>
          <w:tcPr>
            <w:tcW w:w="317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3899,70         </w:t>
            </w:r>
          </w:p>
        </w:tc>
      </w:tr>
      <w:tr w:rsidR="00C15B97">
        <w:trPr>
          <w:trHeight w:val="223"/>
        </w:trPr>
        <w:tc>
          <w:tcPr>
            <w:tcW w:w="305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  7*           </w:t>
            </w:r>
          </w:p>
        </w:tc>
        <w:tc>
          <w:tcPr>
            <w:tcW w:w="317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7379,69         </w:t>
            </w:r>
          </w:p>
        </w:tc>
        <w:tc>
          <w:tcPr>
            <w:tcW w:w="317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    3719,41         </w:t>
            </w:r>
          </w:p>
        </w:tc>
      </w:tr>
    </w:tbl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ind w:firstLine="540"/>
        <w:jc w:val="both"/>
      </w:pPr>
      <w:r>
        <w:t>Основные пешеходные связи обеспечивают удобную пешеходную доступность объектов обслуживания, остановок общественного транспорта и зон отдыха. Проектом планировки территории предусматривается реконструкция существующих транспортных и пешеходных связей.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25">
        <w:r>
          <w:rPr>
            <w:color w:val="0000FF"/>
          </w:rPr>
          <w:t>п. 2.7.5</w:t>
        </w:r>
      </w:hyperlink>
      <w:r>
        <w:t xml:space="preserve"> местного норматива градостроительного проектирования в условиях реконструкции жилых микрорайонов, кварталов допускается принимать расчетное число машино-мест одно на две квартиры. Таким </w:t>
      </w:r>
      <w:proofErr w:type="gramStart"/>
      <w:r>
        <w:t>образом</w:t>
      </w:r>
      <w:proofErr w:type="gramEnd"/>
      <w:r>
        <w:t xml:space="preserve"> для планируемой жилой застройки необходимо 112 машино-мест для постоянного хранения автотранспорта и 57 машино-мест для временного хранения автотранспорта. Проектом планировки предусмотрено размещение одноуровневой подземной </w:t>
      </w:r>
      <w:proofErr w:type="gramStart"/>
      <w:r>
        <w:t>гараж-стоянки</w:t>
      </w:r>
      <w:proofErr w:type="gramEnd"/>
      <w:r>
        <w:t>, расположенной под жилыми секциями и выходящей за границу секций на 27 метров, вмещающей 100 машино-мест. Площадь земельного участка под подземную парковку - 3100 кв. м. Недостающее количество машино-мест необходимо разместить на прилегающих территориях.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center"/>
        <w:outlineLvl w:val="2"/>
      </w:pPr>
      <w:r>
        <w:t>VII. Характеристики планируемого развития территории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ind w:firstLine="540"/>
        <w:jc w:val="both"/>
      </w:pPr>
      <w:r>
        <w:t>Площадь планируемой территории квартала составляет 5,6 га.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Интенсивность использования территории жилого квартала: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убыль жилого фонда - 0 кв. м;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жилой фонд существующего и нового строительства - 50642 кв. м;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процент застроенности территории составит 15%;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плотность жилой застройки - 9043 кв. м/</w:t>
      </w:r>
      <w:proofErr w:type="gramStart"/>
      <w:r>
        <w:t>га</w:t>
      </w:r>
      <w:proofErr w:type="gramEnd"/>
      <w:r>
        <w:t>;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население - 1767 чел.;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>- плотность населения - 315 чел/</w:t>
      </w:r>
      <w:proofErr w:type="gramStart"/>
      <w:r>
        <w:t>га</w:t>
      </w:r>
      <w:proofErr w:type="gramEnd"/>
      <w:r>
        <w:t>.</w:t>
      </w:r>
    </w:p>
    <w:p w:rsidR="00C15B97" w:rsidRDefault="00C15B97">
      <w:pPr>
        <w:pStyle w:val="ConsPlusNormal"/>
        <w:spacing w:before="220"/>
        <w:ind w:firstLine="540"/>
        <w:jc w:val="both"/>
      </w:pPr>
      <w:r>
        <w:t xml:space="preserve">Проектное предложение по балансу территории квартала приведено в </w:t>
      </w:r>
      <w:hyperlink w:anchor="P162">
        <w:r>
          <w:rPr>
            <w:color w:val="0000FF"/>
          </w:rPr>
          <w:t>таблице N 2</w:t>
        </w:r>
      </w:hyperlink>
      <w:r>
        <w:t>.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right"/>
        <w:outlineLvl w:val="3"/>
      </w:pPr>
      <w:bookmarkStart w:id="3" w:name="P162"/>
      <w:bookmarkEnd w:id="3"/>
      <w:r>
        <w:t>Таблица N 2</w:t>
      </w:r>
    </w:p>
    <w:p w:rsidR="00C15B97" w:rsidRDefault="00C15B97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4112"/>
        <w:gridCol w:w="1139"/>
        <w:gridCol w:w="1442"/>
        <w:gridCol w:w="589"/>
        <w:gridCol w:w="1442"/>
        <w:gridCol w:w="711"/>
      </w:tblGrid>
      <w:tr w:rsidR="00C15B97">
        <w:trPr>
          <w:trHeight w:val="223"/>
        </w:trPr>
        <w:tc>
          <w:tcPr>
            <w:tcW w:w="4392" w:type="dxa"/>
            <w:vMerge w:val="restart"/>
          </w:tcPr>
          <w:p w:rsidR="00C15B97" w:rsidRDefault="00C15B97">
            <w:pPr>
              <w:pStyle w:val="ConsPlusNonformat"/>
            </w:pPr>
            <w:r>
              <w:t xml:space="preserve">            Территория            </w:t>
            </w:r>
          </w:p>
        </w:tc>
        <w:tc>
          <w:tcPr>
            <w:tcW w:w="1220" w:type="dxa"/>
            <w:vMerge w:val="restart"/>
          </w:tcPr>
          <w:p w:rsidR="00C15B97" w:rsidRDefault="00C15B97">
            <w:pPr>
              <w:pStyle w:val="ConsPlusNonformat"/>
            </w:pPr>
            <w:r>
              <w:t>Ед. изм.</w:t>
            </w:r>
          </w:p>
        </w:tc>
        <w:tc>
          <w:tcPr>
            <w:tcW w:w="2074" w:type="dxa"/>
            <w:gridSpan w:val="2"/>
          </w:tcPr>
          <w:p w:rsidR="00C15B97" w:rsidRDefault="00C15B97">
            <w:pPr>
              <w:pStyle w:val="ConsPlusNonformat"/>
            </w:pPr>
            <w:r>
              <w:t xml:space="preserve"> Существующее </w:t>
            </w:r>
          </w:p>
          <w:p w:rsidR="00C15B97" w:rsidRDefault="00C15B97">
            <w:pPr>
              <w:pStyle w:val="ConsPlusNonformat"/>
            </w:pPr>
            <w:r>
              <w:t xml:space="preserve">  положение   </w:t>
            </w:r>
          </w:p>
        </w:tc>
        <w:tc>
          <w:tcPr>
            <w:tcW w:w="2196" w:type="dxa"/>
            <w:gridSpan w:val="2"/>
          </w:tcPr>
          <w:p w:rsidR="00C15B97" w:rsidRDefault="00C15B97">
            <w:pPr>
              <w:pStyle w:val="ConsPlusNonformat"/>
            </w:pPr>
            <w:r>
              <w:t xml:space="preserve">   Проектное   </w:t>
            </w:r>
          </w:p>
          <w:p w:rsidR="00C15B97" w:rsidRDefault="00C15B97">
            <w:pPr>
              <w:pStyle w:val="ConsPlusNonformat"/>
            </w:pPr>
            <w:r>
              <w:t xml:space="preserve">    решение    </w:t>
            </w:r>
          </w:p>
        </w:tc>
      </w:tr>
      <w:tr w:rsidR="00C15B97">
        <w:tc>
          <w:tcPr>
            <w:tcW w:w="0" w:type="auto"/>
            <w:vMerge/>
            <w:tcBorders>
              <w:top w:val="nil"/>
            </w:tcBorders>
          </w:tcPr>
          <w:p w:rsidR="00C15B97" w:rsidRDefault="00C15B97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C15B97" w:rsidRDefault="00C15B97">
            <w:pPr>
              <w:pStyle w:val="ConsPlusNormal"/>
            </w:pP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>количество</w:t>
            </w:r>
          </w:p>
        </w:tc>
        <w:tc>
          <w:tcPr>
            <w:tcW w:w="61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% 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>количество</w:t>
            </w:r>
          </w:p>
        </w:tc>
        <w:tc>
          <w:tcPr>
            <w:tcW w:w="73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%  </w:t>
            </w:r>
          </w:p>
        </w:tc>
      </w:tr>
      <w:tr w:rsidR="00C15B97">
        <w:trPr>
          <w:trHeight w:val="223"/>
        </w:trPr>
        <w:tc>
          <w:tcPr>
            <w:tcW w:w="439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Территория квартала - всего       </w:t>
            </w:r>
          </w:p>
        </w:tc>
        <w:tc>
          <w:tcPr>
            <w:tcW w:w="122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5,6    </w:t>
            </w:r>
          </w:p>
        </w:tc>
        <w:tc>
          <w:tcPr>
            <w:tcW w:w="61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>100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5,6    </w:t>
            </w:r>
          </w:p>
        </w:tc>
        <w:tc>
          <w:tcPr>
            <w:tcW w:w="73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100 </w:t>
            </w:r>
          </w:p>
        </w:tc>
      </w:tr>
      <w:tr w:rsidR="00C15B97">
        <w:trPr>
          <w:trHeight w:val="223"/>
        </w:trPr>
        <w:tc>
          <w:tcPr>
            <w:tcW w:w="439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lastRenderedPageBreak/>
              <w:t xml:space="preserve">В том числе:                      </w:t>
            </w:r>
          </w:p>
          <w:p w:rsidR="00C15B97" w:rsidRDefault="00C15B97">
            <w:pPr>
              <w:pStyle w:val="ConsPlusNonformat"/>
            </w:pPr>
            <w:r>
              <w:t xml:space="preserve">территория жилой застройки        </w:t>
            </w:r>
          </w:p>
        </w:tc>
        <w:tc>
          <w:tcPr>
            <w:tcW w:w="122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2,99   </w:t>
            </w:r>
          </w:p>
        </w:tc>
        <w:tc>
          <w:tcPr>
            <w:tcW w:w="61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53 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3,58   </w:t>
            </w:r>
          </w:p>
        </w:tc>
        <w:tc>
          <w:tcPr>
            <w:tcW w:w="73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>63,9</w:t>
            </w:r>
          </w:p>
        </w:tc>
      </w:tr>
      <w:tr w:rsidR="00C15B97">
        <w:trPr>
          <w:trHeight w:val="223"/>
        </w:trPr>
        <w:tc>
          <w:tcPr>
            <w:tcW w:w="439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Территория общего пользования -   </w:t>
            </w:r>
          </w:p>
          <w:p w:rsidR="00C15B97" w:rsidRDefault="00C15B97">
            <w:pPr>
              <w:pStyle w:val="ConsPlusNonformat"/>
            </w:pPr>
            <w:r>
              <w:t xml:space="preserve">всего                             </w:t>
            </w:r>
          </w:p>
        </w:tc>
        <w:tc>
          <w:tcPr>
            <w:tcW w:w="122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2,61   </w:t>
            </w:r>
          </w:p>
        </w:tc>
        <w:tc>
          <w:tcPr>
            <w:tcW w:w="61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47 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2,02   </w:t>
            </w:r>
          </w:p>
        </w:tc>
        <w:tc>
          <w:tcPr>
            <w:tcW w:w="73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>36,1</w:t>
            </w:r>
          </w:p>
        </w:tc>
      </w:tr>
      <w:tr w:rsidR="00C15B97">
        <w:trPr>
          <w:trHeight w:val="223"/>
        </w:trPr>
        <w:tc>
          <w:tcPr>
            <w:tcW w:w="439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В том числе: участки школ         </w:t>
            </w:r>
          </w:p>
        </w:tc>
        <w:tc>
          <w:tcPr>
            <w:tcW w:w="122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0     </w:t>
            </w:r>
          </w:p>
        </w:tc>
        <w:tc>
          <w:tcPr>
            <w:tcW w:w="61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0     </w:t>
            </w:r>
          </w:p>
        </w:tc>
        <w:tc>
          <w:tcPr>
            <w:tcW w:w="73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</w:p>
        </w:tc>
      </w:tr>
      <w:tr w:rsidR="00C15B97">
        <w:trPr>
          <w:trHeight w:val="223"/>
        </w:trPr>
        <w:tc>
          <w:tcPr>
            <w:tcW w:w="439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Участки детских садов             </w:t>
            </w:r>
          </w:p>
        </w:tc>
        <w:tc>
          <w:tcPr>
            <w:tcW w:w="122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0     </w:t>
            </w:r>
          </w:p>
        </w:tc>
        <w:tc>
          <w:tcPr>
            <w:tcW w:w="61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0     </w:t>
            </w:r>
          </w:p>
        </w:tc>
        <w:tc>
          <w:tcPr>
            <w:tcW w:w="73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</w:p>
        </w:tc>
      </w:tr>
      <w:tr w:rsidR="00C15B97">
        <w:trPr>
          <w:trHeight w:val="223"/>
        </w:trPr>
        <w:tc>
          <w:tcPr>
            <w:tcW w:w="439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Участки зеленых насаждений общего </w:t>
            </w:r>
          </w:p>
          <w:p w:rsidR="00C15B97" w:rsidRDefault="00C15B97">
            <w:pPr>
              <w:pStyle w:val="ConsPlusNonformat"/>
            </w:pPr>
            <w:r>
              <w:t xml:space="preserve">пользования и </w:t>
            </w:r>
            <w:proofErr w:type="gramStart"/>
            <w:r>
              <w:t>спортивных</w:t>
            </w:r>
            <w:proofErr w:type="gramEnd"/>
            <w:r>
              <w:t xml:space="preserve">          </w:t>
            </w:r>
          </w:p>
          <w:p w:rsidR="00C15B97" w:rsidRDefault="00C15B97">
            <w:pPr>
              <w:pStyle w:val="ConsPlusNonformat"/>
            </w:pPr>
            <w:r>
              <w:t xml:space="preserve">сооружений                        </w:t>
            </w:r>
          </w:p>
        </w:tc>
        <w:tc>
          <w:tcPr>
            <w:tcW w:w="122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2,18   </w:t>
            </w:r>
          </w:p>
        </w:tc>
        <w:tc>
          <w:tcPr>
            <w:tcW w:w="61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39 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1,55   </w:t>
            </w:r>
          </w:p>
        </w:tc>
        <w:tc>
          <w:tcPr>
            <w:tcW w:w="73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>27,1</w:t>
            </w:r>
          </w:p>
        </w:tc>
      </w:tr>
      <w:tr w:rsidR="00C15B97">
        <w:trPr>
          <w:trHeight w:val="223"/>
        </w:trPr>
        <w:tc>
          <w:tcPr>
            <w:tcW w:w="439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Участки объектов                  </w:t>
            </w:r>
          </w:p>
          <w:p w:rsidR="00C15B97" w:rsidRDefault="00C15B97">
            <w:pPr>
              <w:pStyle w:val="ConsPlusNonformat"/>
            </w:pPr>
            <w:r>
              <w:t>культурно-бытового и коммунального</w:t>
            </w:r>
          </w:p>
          <w:p w:rsidR="00C15B97" w:rsidRDefault="00C15B97">
            <w:pPr>
              <w:pStyle w:val="ConsPlusNonformat"/>
            </w:pPr>
            <w:r>
              <w:t xml:space="preserve">обслуживания                      </w:t>
            </w:r>
          </w:p>
        </w:tc>
        <w:tc>
          <w:tcPr>
            <w:tcW w:w="122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0     </w:t>
            </w:r>
          </w:p>
        </w:tc>
        <w:tc>
          <w:tcPr>
            <w:tcW w:w="61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0     </w:t>
            </w:r>
          </w:p>
        </w:tc>
        <w:tc>
          <w:tcPr>
            <w:tcW w:w="73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</w:p>
        </w:tc>
      </w:tr>
      <w:tr w:rsidR="00C15B97">
        <w:trPr>
          <w:trHeight w:val="223"/>
        </w:trPr>
        <w:tc>
          <w:tcPr>
            <w:tcW w:w="439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Улицы, проезды                    </w:t>
            </w:r>
          </w:p>
        </w:tc>
        <w:tc>
          <w:tcPr>
            <w:tcW w:w="122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0,43   </w:t>
            </w:r>
          </w:p>
        </w:tc>
        <w:tc>
          <w:tcPr>
            <w:tcW w:w="61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8 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0,43   </w:t>
            </w:r>
          </w:p>
        </w:tc>
        <w:tc>
          <w:tcPr>
            <w:tcW w:w="73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8  </w:t>
            </w:r>
          </w:p>
        </w:tc>
      </w:tr>
      <w:tr w:rsidR="00C15B97">
        <w:trPr>
          <w:trHeight w:val="223"/>
        </w:trPr>
        <w:tc>
          <w:tcPr>
            <w:tcW w:w="439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proofErr w:type="gramStart"/>
            <w:r>
              <w:t xml:space="preserve">Автостоянки (временного хранения  </w:t>
            </w:r>
            <w:proofErr w:type="gramEnd"/>
          </w:p>
          <w:p w:rsidR="00C15B97" w:rsidRDefault="00C15B97">
            <w:pPr>
              <w:pStyle w:val="ConsPlusNonformat"/>
            </w:pPr>
            <w:r>
              <w:t xml:space="preserve">автотранспорта)                   </w:t>
            </w:r>
          </w:p>
        </w:tc>
        <w:tc>
          <w:tcPr>
            <w:tcW w:w="122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0     </w:t>
            </w:r>
          </w:p>
        </w:tc>
        <w:tc>
          <w:tcPr>
            <w:tcW w:w="61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0,04   </w:t>
            </w:r>
          </w:p>
        </w:tc>
        <w:tc>
          <w:tcPr>
            <w:tcW w:w="73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1  </w:t>
            </w:r>
          </w:p>
        </w:tc>
      </w:tr>
      <w:tr w:rsidR="00C15B97">
        <w:trPr>
          <w:trHeight w:val="223"/>
        </w:trPr>
        <w:tc>
          <w:tcPr>
            <w:tcW w:w="439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Участки гаражей, стоянок          </w:t>
            </w:r>
          </w:p>
          <w:p w:rsidR="00C15B97" w:rsidRDefault="00C15B97">
            <w:pPr>
              <w:pStyle w:val="ConsPlusNonformat"/>
            </w:pPr>
            <w:r>
              <w:t xml:space="preserve">(подземные)                       </w:t>
            </w:r>
          </w:p>
        </w:tc>
        <w:tc>
          <w:tcPr>
            <w:tcW w:w="122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0     </w:t>
            </w:r>
          </w:p>
        </w:tc>
        <w:tc>
          <w:tcPr>
            <w:tcW w:w="61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0,36   </w:t>
            </w:r>
          </w:p>
        </w:tc>
        <w:tc>
          <w:tcPr>
            <w:tcW w:w="73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</w:p>
        </w:tc>
      </w:tr>
      <w:tr w:rsidR="00C15B97">
        <w:trPr>
          <w:trHeight w:val="223"/>
        </w:trPr>
        <w:tc>
          <w:tcPr>
            <w:tcW w:w="439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Прочие территории                 </w:t>
            </w:r>
          </w:p>
          <w:p w:rsidR="00C15B97" w:rsidRDefault="00C15B97">
            <w:pPr>
              <w:pStyle w:val="ConsPlusNonformat"/>
            </w:pPr>
            <w:r>
              <w:t xml:space="preserve">(производственно-складские)       </w:t>
            </w:r>
          </w:p>
        </w:tc>
        <w:tc>
          <w:tcPr>
            <w:tcW w:w="122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</w:t>
            </w:r>
            <w:proofErr w:type="gramStart"/>
            <w:r>
              <w:t>га</w:t>
            </w:r>
            <w:proofErr w:type="gramEnd"/>
            <w:r>
              <w:t xml:space="preserve">   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0     </w:t>
            </w:r>
          </w:p>
        </w:tc>
        <w:tc>
          <w:tcPr>
            <w:tcW w:w="61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 0     </w:t>
            </w:r>
          </w:p>
        </w:tc>
        <w:tc>
          <w:tcPr>
            <w:tcW w:w="73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</w:p>
        </w:tc>
      </w:tr>
      <w:tr w:rsidR="00C15B97">
        <w:trPr>
          <w:trHeight w:val="223"/>
        </w:trPr>
        <w:tc>
          <w:tcPr>
            <w:tcW w:w="439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Коэффициент застройки             </w:t>
            </w:r>
          </w:p>
        </w:tc>
        <w:tc>
          <w:tcPr>
            <w:tcW w:w="122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%    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0,19   </w:t>
            </w:r>
          </w:p>
        </w:tc>
        <w:tc>
          <w:tcPr>
            <w:tcW w:w="61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0,17   </w:t>
            </w:r>
          </w:p>
        </w:tc>
        <w:tc>
          <w:tcPr>
            <w:tcW w:w="73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</w:p>
        </w:tc>
      </w:tr>
      <w:tr w:rsidR="00C15B97">
        <w:trPr>
          <w:trHeight w:val="223"/>
        </w:trPr>
        <w:tc>
          <w:tcPr>
            <w:tcW w:w="439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Коэффициент плотности застройки   </w:t>
            </w:r>
          </w:p>
        </w:tc>
        <w:tc>
          <w:tcPr>
            <w:tcW w:w="122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%    </w:t>
            </w: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0,16   </w:t>
            </w:r>
          </w:p>
        </w:tc>
        <w:tc>
          <w:tcPr>
            <w:tcW w:w="610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</w:p>
        </w:tc>
        <w:tc>
          <w:tcPr>
            <w:tcW w:w="1464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  <w:r>
              <w:t xml:space="preserve">   1,8    </w:t>
            </w:r>
          </w:p>
        </w:tc>
        <w:tc>
          <w:tcPr>
            <w:tcW w:w="732" w:type="dxa"/>
            <w:tcBorders>
              <w:top w:val="nil"/>
            </w:tcBorders>
          </w:tcPr>
          <w:p w:rsidR="00C15B97" w:rsidRDefault="00C15B97">
            <w:pPr>
              <w:pStyle w:val="ConsPlusNonformat"/>
            </w:pPr>
          </w:p>
        </w:tc>
      </w:tr>
    </w:tbl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ind w:firstLine="540"/>
        <w:jc w:val="both"/>
      </w:pPr>
      <w:r>
        <w:t>Описание и обоснование параметров планируемого строительства систем социального, транспортного обслуживания и инженерно-технического обеспечения, необходимых для развития территории, изложены в материалах по обоснованию проекта планировки.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center"/>
        <w:outlineLvl w:val="2"/>
      </w:pPr>
      <w:r>
        <w:t xml:space="preserve">VIII. Защита территории от чрезвычайных ситуаций </w:t>
      </w:r>
      <w:proofErr w:type="gramStart"/>
      <w:r>
        <w:t>природного</w:t>
      </w:r>
      <w:proofErr w:type="gramEnd"/>
    </w:p>
    <w:p w:rsidR="00C15B97" w:rsidRDefault="00C15B97">
      <w:pPr>
        <w:pStyle w:val="ConsPlusNormal"/>
        <w:jc w:val="center"/>
      </w:pPr>
      <w:r>
        <w:t>и техногенного характера, проведения мероприятий</w:t>
      </w:r>
    </w:p>
    <w:p w:rsidR="00C15B97" w:rsidRDefault="00C15B97">
      <w:pPr>
        <w:pStyle w:val="ConsPlusNormal"/>
        <w:jc w:val="center"/>
      </w:pPr>
      <w:r>
        <w:t>по гражданской обороне и обеспечению пожарной безопасности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ind w:firstLine="540"/>
        <w:jc w:val="both"/>
      </w:pPr>
      <w:r>
        <w:t xml:space="preserve">Мероприятия по защите территории от чрезвычайных ситуаций природного и техногенного характера, проведения мероприятий по гражданской обороне и обеспечению пожарной безопасности должны </w:t>
      </w:r>
      <w:proofErr w:type="gramStart"/>
      <w:r>
        <w:t>производится</w:t>
      </w:r>
      <w:proofErr w:type="gramEnd"/>
      <w:r>
        <w:t xml:space="preserve"> в соответствии с положениями Генерального </w:t>
      </w:r>
      <w:hyperlink r:id="rId26">
        <w:r>
          <w:rPr>
            <w:color w:val="0000FF"/>
          </w:rPr>
          <w:t>плана</w:t>
        </w:r>
      </w:hyperlink>
      <w:r>
        <w:t xml:space="preserve"> городского округа город Воронеж.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right"/>
      </w:pPr>
      <w:r>
        <w:t>Руководитель управления</w:t>
      </w:r>
    </w:p>
    <w:p w:rsidR="00C15B97" w:rsidRDefault="00C15B97">
      <w:pPr>
        <w:pStyle w:val="ConsPlusNormal"/>
        <w:jc w:val="right"/>
      </w:pPr>
      <w:r>
        <w:t>главного архитектора</w:t>
      </w:r>
    </w:p>
    <w:p w:rsidR="00C15B97" w:rsidRDefault="00C15B97">
      <w:pPr>
        <w:pStyle w:val="ConsPlusNormal"/>
        <w:jc w:val="right"/>
      </w:pPr>
      <w:r>
        <w:t>администрации городского округа</w:t>
      </w:r>
    </w:p>
    <w:p w:rsidR="00C15B97" w:rsidRDefault="00C15B97">
      <w:pPr>
        <w:pStyle w:val="ConsPlusNormal"/>
        <w:jc w:val="right"/>
      </w:pPr>
      <w:r>
        <w:t>А.В.ШЕВЕЛЕВ</w:t>
      </w: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jc w:val="both"/>
      </w:pPr>
    </w:p>
    <w:p w:rsidR="00C15B97" w:rsidRDefault="00C15B97">
      <w:pPr>
        <w:pStyle w:val="ConsPlusNormal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 w:rsidR="00CE133D" w:rsidRDefault="00CE133D">
      <w:bookmarkStart w:id="4" w:name="_GoBack"/>
      <w:bookmarkEnd w:id="4"/>
    </w:p>
    <w:sectPr w:rsidR="00CE133D" w:rsidSect="000E4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B97"/>
    <w:rsid w:val="00C15B97"/>
    <w:rsid w:val="00CE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5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15B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15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15B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5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15B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15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15B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53808" TargetMode="External"/><Relationship Id="rId13" Type="http://schemas.openxmlformats.org/officeDocument/2006/relationships/hyperlink" Target="https://login.consultant.ru/link/?req=doc&amp;base=RLAW181&amp;n=31140&amp;dst=100014" TargetMode="External"/><Relationship Id="rId18" Type="http://schemas.openxmlformats.org/officeDocument/2006/relationships/hyperlink" Target="https://login.consultant.ru/link/?req=doc&amp;base=RLAW181&amp;n=49539&amp;dst=101286" TargetMode="External"/><Relationship Id="rId26" Type="http://schemas.openxmlformats.org/officeDocument/2006/relationships/hyperlink" Target="https://login.consultant.ru/link/?req=doc&amp;base=RLAW181&amp;n=29309&amp;dst=10000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181&amp;n=29309&amp;dst=100005" TargetMode="External"/><Relationship Id="rId7" Type="http://schemas.openxmlformats.org/officeDocument/2006/relationships/hyperlink" Target="https://login.consultant.ru/link/?req=doc&amp;base=LAW&amp;n=154813" TargetMode="External"/><Relationship Id="rId12" Type="http://schemas.openxmlformats.org/officeDocument/2006/relationships/hyperlink" Target="https://login.consultant.ru/link/?req=doc&amp;base=RLAW181&amp;n=29309&amp;dst=100005" TargetMode="External"/><Relationship Id="rId17" Type="http://schemas.openxmlformats.org/officeDocument/2006/relationships/hyperlink" Target="https://login.consultant.ru/link/?req=doc&amp;base=RLAW181&amp;n=51741&amp;dst=100009" TargetMode="External"/><Relationship Id="rId25" Type="http://schemas.openxmlformats.org/officeDocument/2006/relationships/hyperlink" Target="https://login.consultant.ru/link/?req=doc&amp;base=RLAW181&amp;n=51741&amp;dst=10027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49625&amp;dst=100009" TargetMode="External"/><Relationship Id="rId20" Type="http://schemas.openxmlformats.org/officeDocument/2006/relationships/hyperlink" Target="https://login.consultant.ru/link/?req=doc&amp;base=RLAW181&amp;n=49539&amp;dst=10122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47332" TargetMode="External"/><Relationship Id="rId11" Type="http://schemas.openxmlformats.org/officeDocument/2006/relationships/hyperlink" Target="https://login.consultant.ru/link/?req=doc&amp;base=RLAW181&amp;n=54369" TargetMode="External"/><Relationship Id="rId24" Type="http://schemas.openxmlformats.org/officeDocument/2006/relationships/hyperlink" Target="https://login.consultant.ru/link/?req=doc&amp;base=RLAW181&amp;n=29309&amp;dst=100005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147332" TargetMode="External"/><Relationship Id="rId23" Type="http://schemas.openxmlformats.org/officeDocument/2006/relationships/hyperlink" Target="https://login.consultant.ru/link/?req=doc&amp;base=RLAW181&amp;n=29309&amp;dst=100005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81&amp;n=54369" TargetMode="External"/><Relationship Id="rId19" Type="http://schemas.openxmlformats.org/officeDocument/2006/relationships/hyperlink" Target="https://login.consultant.ru/link/?req=doc&amp;base=RLAW181&amp;n=49539&amp;dst=10166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29309&amp;dst=100005" TargetMode="External"/><Relationship Id="rId14" Type="http://schemas.openxmlformats.org/officeDocument/2006/relationships/hyperlink" Target="https://login.consultant.ru/link/?req=doc&amp;base=RLAW181&amp;n=49539&amp;dst=100037" TargetMode="External"/><Relationship Id="rId22" Type="http://schemas.openxmlformats.org/officeDocument/2006/relationships/hyperlink" Target="https://login.consultant.ru/link/?req=doc&amp;base=RLAW181&amp;n=49539&amp;dst=100037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3418</Words>
  <Characters>19483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2026-02-24T09:39:00Z</dcterms:created>
  <dcterms:modified xsi:type="dcterms:W3CDTF">2026-02-24T09:39:00Z</dcterms:modified>
</cp:coreProperties>
</file>